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14F" w:rsidRDefault="00381EF0">
      <w:pPr>
        <w:rPr>
          <w:b/>
          <w:bCs/>
          <w:sz w:val="26"/>
          <w:szCs w:val="26"/>
        </w:rPr>
      </w:pPr>
      <w:bookmarkStart w:id="0" w:name="_GoBack"/>
      <w:bookmarkEnd w:id="0"/>
      <w:r>
        <w:rPr>
          <w:b/>
          <w:bCs/>
          <w:sz w:val="26"/>
          <w:szCs w:val="26"/>
        </w:rPr>
        <w:t xml:space="preserve">Musina Local Municipality’s </w:t>
      </w:r>
      <w:r w:rsidR="00A63FAB">
        <w:rPr>
          <w:b/>
          <w:bCs/>
          <w:sz w:val="26"/>
          <w:szCs w:val="26"/>
        </w:rPr>
        <w:t>Operating Revenue Framework</w:t>
      </w:r>
      <w:r>
        <w:rPr>
          <w:b/>
          <w:bCs/>
          <w:sz w:val="26"/>
          <w:szCs w:val="26"/>
        </w:rPr>
        <w:t xml:space="preserve"> 2014/2015</w:t>
      </w:r>
    </w:p>
    <w:p w:rsidR="00A63FAB" w:rsidRDefault="00A63FAB">
      <w:pPr>
        <w:rPr>
          <w:b/>
          <w:bCs/>
          <w:sz w:val="26"/>
          <w:szCs w:val="26"/>
        </w:rPr>
      </w:pPr>
    </w:p>
    <w:p w:rsidR="00A63FAB" w:rsidRPr="00381EF0" w:rsidRDefault="00A63FAB" w:rsidP="00A63FAB">
      <w:pPr>
        <w:pStyle w:val="Default"/>
        <w:rPr>
          <w:rStyle w:val="Emphasis"/>
        </w:rPr>
      </w:pPr>
      <w:r w:rsidRPr="00381EF0">
        <w:rPr>
          <w:rStyle w:val="Emphasis"/>
        </w:rPr>
        <w:t xml:space="preserve">For Musina Local Municipality to continue improving the quality of services provided to its citizens it needs to generate the required revenue. </w:t>
      </w:r>
    </w:p>
    <w:p w:rsidR="00A63FAB" w:rsidRPr="00381EF0" w:rsidRDefault="00A63FAB" w:rsidP="00A63FAB">
      <w:pPr>
        <w:pStyle w:val="Default"/>
        <w:rPr>
          <w:rStyle w:val="Emphasis"/>
        </w:rPr>
      </w:pPr>
    </w:p>
    <w:p w:rsidR="00A63FAB" w:rsidRPr="00381EF0" w:rsidRDefault="00A63FAB" w:rsidP="00A63FAB">
      <w:pPr>
        <w:pStyle w:val="Default"/>
        <w:rPr>
          <w:rStyle w:val="Emphasis"/>
        </w:rPr>
      </w:pPr>
      <w:r w:rsidRPr="00381EF0">
        <w:rPr>
          <w:rStyle w:val="Emphasis"/>
        </w:rPr>
        <w:t xml:space="preserve">In these tough economic times strong revenue management is fundamental to the financial sustainability of our municipality. </w:t>
      </w:r>
    </w:p>
    <w:p w:rsidR="00A63FAB" w:rsidRPr="00381EF0" w:rsidRDefault="00A63FAB" w:rsidP="00A63FAB">
      <w:pPr>
        <w:pStyle w:val="Default"/>
        <w:rPr>
          <w:rStyle w:val="Emphasis"/>
        </w:rPr>
      </w:pPr>
      <w:r w:rsidRPr="00381EF0">
        <w:rPr>
          <w:rStyle w:val="Emphasis"/>
        </w:rPr>
        <w:t xml:space="preserve">The reality is that we are faced with development backlogs and poverty. The expenditure required to address these challenges will inevitably always exceed available funding; hence difficult choices have to be made in relation to tariff increases and balancing expenditures against realistically anticipated revenues. </w:t>
      </w:r>
    </w:p>
    <w:p w:rsidR="00A63FAB" w:rsidRPr="00381EF0" w:rsidRDefault="00A63FAB" w:rsidP="00A63FAB">
      <w:pPr>
        <w:pStyle w:val="Default"/>
        <w:rPr>
          <w:rStyle w:val="Emphasis"/>
        </w:rPr>
      </w:pPr>
    </w:p>
    <w:p w:rsidR="00A63FAB" w:rsidRPr="00381EF0" w:rsidRDefault="00A63FAB" w:rsidP="00A63FAB">
      <w:pPr>
        <w:pStyle w:val="Default"/>
        <w:rPr>
          <w:rStyle w:val="Emphasis"/>
        </w:rPr>
      </w:pPr>
      <w:r w:rsidRPr="00381EF0">
        <w:rPr>
          <w:rStyle w:val="Emphasis"/>
        </w:rPr>
        <w:t xml:space="preserve">The Musina Local Municipality’s revenue strategy is built around the following key components: </w:t>
      </w:r>
    </w:p>
    <w:p w:rsidR="00A63FAB" w:rsidRPr="00381EF0" w:rsidRDefault="00A63FAB" w:rsidP="00A63FAB">
      <w:pPr>
        <w:pStyle w:val="Default"/>
        <w:spacing w:after="13"/>
        <w:rPr>
          <w:rStyle w:val="Emphasis"/>
        </w:rPr>
      </w:pPr>
    </w:p>
    <w:p w:rsidR="00A63FAB" w:rsidRPr="00381EF0" w:rsidRDefault="00A63FAB" w:rsidP="00A63FAB">
      <w:pPr>
        <w:pStyle w:val="Default"/>
        <w:spacing w:after="13"/>
        <w:rPr>
          <w:rStyle w:val="Emphasis"/>
        </w:rPr>
      </w:pPr>
      <w:r w:rsidRPr="00381EF0">
        <w:rPr>
          <w:rStyle w:val="Emphasis"/>
        </w:rPr>
        <w:t xml:space="preserve">• National Treasury’s guidelines and macroeconomic policy; </w:t>
      </w:r>
    </w:p>
    <w:p w:rsidR="00A63FAB" w:rsidRPr="00381EF0" w:rsidRDefault="00A63FAB" w:rsidP="00A63FAB">
      <w:pPr>
        <w:pStyle w:val="Default"/>
        <w:spacing w:after="13"/>
        <w:rPr>
          <w:rStyle w:val="Emphasis"/>
        </w:rPr>
      </w:pPr>
      <w:r w:rsidRPr="00381EF0">
        <w:rPr>
          <w:rStyle w:val="Emphasis"/>
        </w:rPr>
        <w:t xml:space="preserve">• Growth in the Town and continued economic development; </w:t>
      </w:r>
    </w:p>
    <w:p w:rsidR="00A63FAB" w:rsidRPr="00381EF0" w:rsidRDefault="00A63FAB" w:rsidP="00A63FAB">
      <w:pPr>
        <w:pStyle w:val="Default"/>
        <w:spacing w:after="13"/>
        <w:rPr>
          <w:rStyle w:val="Emphasis"/>
        </w:rPr>
      </w:pPr>
      <w:r w:rsidRPr="00381EF0">
        <w:rPr>
          <w:rStyle w:val="Emphasis"/>
        </w:rPr>
        <w:t xml:space="preserve">• Efficient revenue management, which aims to ensure a +- 90-95 per cent annual collection   rate for property rates and other key service charges; </w:t>
      </w:r>
    </w:p>
    <w:p w:rsidR="00A63FAB" w:rsidRPr="00381EF0" w:rsidRDefault="00A63FAB" w:rsidP="00A63FAB">
      <w:pPr>
        <w:pStyle w:val="Default"/>
        <w:spacing w:after="13"/>
        <w:rPr>
          <w:rStyle w:val="Emphasis"/>
        </w:rPr>
      </w:pPr>
      <w:r w:rsidRPr="00381EF0">
        <w:rPr>
          <w:rStyle w:val="Emphasis"/>
        </w:rPr>
        <w:t xml:space="preserve">• Electricity tariff increases as approved by the National Electricity Regulator of South Africa (NERSA); </w:t>
      </w:r>
    </w:p>
    <w:p w:rsidR="00A63FAB" w:rsidRPr="00381EF0" w:rsidRDefault="00A63FAB" w:rsidP="00A63FAB">
      <w:pPr>
        <w:pStyle w:val="Default"/>
        <w:spacing w:after="13"/>
        <w:rPr>
          <w:rStyle w:val="Emphasis"/>
        </w:rPr>
      </w:pPr>
      <w:r w:rsidRPr="00381EF0">
        <w:rPr>
          <w:rStyle w:val="Emphasis"/>
        </w:rPr>
        <w:t xml:space="preserve">• Achievement of full cost recovery of specific user charges especially in relation to trading services; </w:t>
      </w:r>
    </w:p>
    <w:p w:rsidR="00A63FAB" w:rsidRPr="00381EF0" w:rsidRDefault="00A63FAB" w:rsidP="00A63FAB">
      <w:pPr>
        <w:pStyle w:val="Default"/>
        <w:spacing w:after="13"/>
        <w:rPr>
          <w:rStyle w:val="Emphasis"/>
        </w:rPr>
      </w:pPr>
      <w:r w:rsidRPr="00381EF0">
        <w:rPr>
          <w:rStyle w:val="Emphasis"/>
        </w:rPr>
        <w:t xml:space="preserve">• Determining the tariff escalation rate by establishing/calculating the revenue requirement of each service; </w:t>
      </w:r>
    </w:p>
    <w:p w:rsidR="00A63FAB" w:rsidRPr="00381EF0" w:rsidRDefault="00A63FAB" w:rsidP="00A63FAB">
      <w:pPr>
        <w:pStyle w:val="Default"/>
        <w:spacing w:after="13"/>
        <w:rPr>
          <w:rStyle w:val="Emphasis"/>
        </w:rPr>
      </w:pPr>
      <w:r w:rsidRPr="00381EF0">
        <w:rPr>
          <w:rStyle w:val="Emphasis"/>
        </w:rPr>
        <w:t xml:space="preserve">• The Municipality’s Property Rates Policy approved in terms of the Municipal Property Rates Act, 2004 (Act 6 of 2004) (MPRA); </w:t>
      </w:r>
    </w:p>
    <w:p w:rsidR="00A63FAB" w:rsidRPr="00381EF0" w:rsidRDefault="00A63FAB" w:rsidP="00A63FAB">
      <w:pPr>
        <w:pStyle w:val="Default"/>
        <w:spacing w:after="13"/>
        <w:rPr>
          <w:rStyle w:val="Emphasis"/>
        </w:rPr>
      </w:pPr>
      <w:r w:rsidRPr="00381EF0">
        <w:rPr>
          <w:rStyle w:val="Emphasis"/>
        </w:rPr>
        <w:t xml:space="preserve">• Increase ability to extend new services and recover costs; </w:t>
      </w:r>
    </w:p>
    <w:p w:rsidR="00A63FAB" w:rsidRPr="00381EF0" w:rsidRDefault="00A63FAB" w:rsidP="00A63FAB">
      <w:pPr>
        <w:pStyle w:val="Default"/>
        <w:spacing w:after="13"/>
        <w:rPr>
          <w:rStyle w:val="Emphasis"/>
        </w:rPr>
      </w:pPr>
      <w:r w:rsidRPr="00381EF0">
        <w:rPr>
          <w:rStyle w:val="Emphasis"/>
        </w:rPr>
        <w:t xml:space="preserve">• The Municipality’s Indigent Policy and rendering of free basic services; and </w:t>
      </w:r>
    </w:p>
    <w:p w:rsidR="00A63FAB" w:rsidRPr="00381EF0" w:rsidRDefault="00A63FAB" w:rsidP="00A63FAB">
      <w:pPr>
        <w:pStyle w:val="Default"/>
        <w:rPr>
          <w:rStyle w:val="Emphasis"/>
        </w:rPr>
      </w:pPr>
      <w:r w:rsidRPr="00381EF0">
        <w:rPr>
          <w:rStyle w:val="Emphasis"/>
        </w:rPr>
        <w:t xml:space="preserve">• Tariff policies of the Municipality </w:t>
      </w:r>
    </w:p>
    <w:p w:rsidR="0057485F" w:rsidRPr="00381EF0" w:rsidRDefault="0057485F" w:rsidP="00A63FAB">
      <w:pPr>
        <w:pStyle w:val="Default"/>
        <w:rPr>
          <w:rStyle w:val="Emphasis"/>
        </w:rPr>
      </w:pPr>
    </w:p>
    <w:p w:rsidR="0057485F" w:rsidRPr="00381EF0" w:rsidRDefault="0057485F" w:rsidP="0057485F">
      <w:pPr>
        <w:autoSpaceDE w:val="0"/>
        <w:autoSpaceDN w:val="0"/>
        <w:adjustRightInd w:val="0"/>
        <w:spacing w:after="0" w:line="240" w:lineRule="auto"/>
        <w:rPr>
          <w:rStyle w:val="Emphasis"/>
        </w:rPr>
      </w:pPr>
      <w:r w:rsidRPr="00381EF0">
        <w:rPr>
          <w:rStyle w:val="Emphasis"/>
        </w:rPr>
        <w:t xml:space="preserve">In line with the formats prescribed by the Municipal Budget and Reporting Regulations, capital transfers and contributions are excluded from the operating statement, as inclusion of these revenue sources would distort the calculation of the operating surplus/deficit. </w:t>
      </w:r>
    </w:p>
    <w:p w:rsidR="0057485F" w:rsidRPr="00381EF0" w:rsidRDefault="0057485F" w:rsidP="0057485F">
      <w:pPr>
        <w:autoSpaceDE w:val="0"/>
        <w:autoSpaceDN w:val="0"/>
        <w:adjustRightInd w:val="0"/>
        <w:spacing w:after="0" w:line="240" w:lineRule="auto"/>
        <w:rPr>
          <w:rStyle w:val="Emphasis"/>
        </w:rPr>
      </w:pPr>
      <w:r w:rsidRPr="00381EF0">
        <w:rPr>
          <w:rStyle w:val="Emphasis"/>
        </w:rPr>
        <w:t>Revenue generated from rates and services charges forms a significant percentage of the revenue basket for the Municipality. Rates and service charge revenues comprise more than two thirds of the total revenue mix.</w:t>
      </w:r>
    </w:p>
    <w:p w:rsidR="0057485F" w:rsidRPr="00381EF0" w:rsidRDefault="0057485F" w:rsidP="0057485F">
      <w:pPr>
        <w:autoSpaceDE w:val="0"/>
        <w:autoSpaceDN w:val="0"/>
        <w:adjustRightInd w:val="0"/>
        <w:spacing w:after="0" w:line="240" w:lineRule="auto"/>
        <w:rPr>
          <w:rStyle w:val="Emphasis"/>
        </w:rPr>
      </w:pPr>
    </w:p>
    <w:p w:rsidR="00E94769" w:rsidRPr="00381EF0" w:rsidRDefault="0057485F" w:rsidP="0057485F">
      <w:pPr>
        <w:autoSpaceDE w:val="0"/>
        <w:autoSpaceDN w:val="0"/>
        <w:adjustRightInd w:val="0"/>
        <w:spacing w:after="0" w:line="240" w:lineRule="auto"/>
        <w:rPr>
          <w:rStyle w:val="Emphasis"/>
        </w:rPr>
      </w:pPr>
      <w:r w:rsidRPr="00381EF0">
        <w:rPr>
          <w:rStyle w:val="Emphasis"/>
        </w:rPr>
        <w:t>A notable trend is the increase in the total percentage revenue generated from rates and services charges which increases from R</w:t>
      </w:r>
      <w:r w:rsidR="007409C3" w:rsidRPr="00381EF0">
        <w:rPr>
          <w:rStyle w:val="Emphasis"/>
        </w:rPr>
        <w:t>10</w:t>
      </w:r>
      <w:r w:rsidRPr="00381EF0">
        <w:rPr>
          <w:rStyle w:val="Emphasis"/>
        </w:rPr>
        <w:t>9</w:t>
      </w:r>
      <w:r w:rsidR="007409C3" w:rsidRPr="00381EF0">
        <w:rPr>
          <w:rStyle w:val="Emphasis"/>
        </w:rPr>
        <w:t xml:space="preserve"> </w:t>
      </w:r>
      <w:r w:rsidRPr="00381EF0">
        <w:rPr>
          <w:rStyle w:val="Emphasis"/>
        </w:rPr>
        <w:t>million in 2012/2013 Actual audited to R1</w:t>
      </w:r>
      <w:r w:rsidR="007409C3" w:rsidRPr="00381EF0">
        <w:rPr>
          <w:rStyle w:val="Emphasis"/>
        </w:rPr>
        <w:t>06</w:t>
      </w:r>
      <w:r w:rsidRPr="00381EF0">
        <w:rPr>
          <w:rStyle w:val="Emphasis"/>
        </w:rPr>
        <w:t xml:space="preserve"> million in 2014/2015. </w:t>
      </w:r>
    </w:p>
    <w:p w:rsidR="00E94769" w:rsidRPr="00381EF0" w:rsidRDefault="00E94769" w:rsidP="0057485F">
      <w:pPr>
        <w:autoSpaceDE w:val="0"/>
        <w:autoSpaceDN w:val="0"/>
        <w:adjustRightInd w:val="0"/>
        <w:spacing w:after="0" w:line="240" w:lineRule="auto"/>
        <w:rPr>
          <w:rStyle w:val="Emphasis"/>
        </w:rPr>
      </w:pPr>
    </w:p>
    <w:p w:rsidR="0057485F" w:rsidRPr="00381EF0" w:rsidRDefault="0057485F" w:rsidP="0057485F">
      <w:pPr>
        <w:autoSpaceDE w:val="0"/>
        <w:autoSpaceDN w:val="0"/>
        <w:adjustRightInd w:val="0"/>
        <w:spacing w:after="0" w:line="240" w:lineRule="auto"/>
        <w:rPr>
          <w:rStyle w:val="Emphasis"/>
        </w:rPr>
      </w:pPr>
      <w:r w:rsidRPr="00381EF0">
        <w:rPr>
          <w:rStyle w:val="Emphasis"/>
        </w:rPr>
        <w:t xml:space="preserve">This growth can be mainly attributed to the increased share that the sale of electricity contributes to the total revenue mix, which in turn is due to rapid increases in the Eskom tariffs for bulk electricity. The above table excludes revenue foregone arising from discounts and rebates associated with the tariff policies of the Municipality. Details in this regard are contained in </w:t>
      </w:r>
      <w:r w:rsidR="007409C3" w:rsidRPr="00381EF0">
        <w:rPr>
          <w:rStyle w:val="Emphasis"/>
        </w:rPr>
        <w:t>Table 64 MBRR SA1</w:t>
      </w:r>
      <w:r w:rsidRPr="00381EF0">
        <w:rPr>
          <w:rStyle w:val="Emphasis"/>
        </w:rPr>
        <w:t xml:space="preserve"> </w:t>
      </w:r>
    </w:p>
    <w:p w:rsidR="00E94769" w:rsidRPr="00381EF0" w:rsidRDefault="00E94769" w:rsidP="0057485F">
      <w:pPr>
        <w:autoSpaceDE w:val="0"/>
        <w:autoSpaceDN w:val="0"/>
        <w:adjustRightInd w:val="0"/>
        <w:spacing w:after="0" w:line="240" w:lineRule="auto"/>
        <w:rPr>
          <w:rStyle w:val="Emphasis"/>
        </w:rPr>
      </w:pPr>
    </w:p>
    <w:p w:rsidR="0057485F" w:rsidRPr="00381EF0" w:rsidRDefault="0057485F" w:rsidP="0057485F">
      <w:pPr>
        <w:autoSpaceDE w:val="0"/>
        <w:autoSpaceDN w:val="0"/>
        <w:adjustRightInd w:val="0"/>
        <w:spacing w:after="0" w:line="240" w:lineRule="auto"/>
        <w:rPr>
          <w:rStyle w:val="Emphasis"/>
        </w:rPr>
      </w:pPr>
      <w:r w:rsidRPr="00381EF0">
        <w:rPr>
          <w:rStyle w:val="Emphasis"/>
        </w:rPr>
        <w:lastRenderedPageBreak/>
        <w:t xml:space="preserve">Property rates is the second largest revenue source totalling </w:t>
      </w:r>
      <w:r w:rsidR="00E94769" w:rsidRPr="00381EF0">
        <w:rPr>
          <w:rStyle w:val="Emphasis"/>
        </w:rPr>
        <w:t>R11million</w:t>
      </w:r>
      <w:r w:rsidRPr="00381EF0">
        <w:rPr>
          <w:rStyle w:val="Emphasis"/>
        </w:rPr>
        <w:t xml:space="preserve">. The third largest sources is „other revenue‟ which consists of various items such as income received from permits and licenses, building plan fees, connection fees, and advertisement fees. Departments have been urged to review the tariffs of these items on an annual basis to ensure they are cost reflective and market related. </w:t>
      </w:r>
    </w:p>
    <w:p w:rsidR="00E94769" w:rsidRPr="00381EF0" w:rsidRDefault="0057485F" w:rsidP="0057485F">
      <w:pPr>
        <w:pStyle w:val="Default"/>
        <w:rPr>
          <w:rStyle w:val="Emphasis"/>
        </w:rPr>
      </w:pPr>
      <w:r w:rsidRPr="00381EF0">
        <w:rPr>
          <w:rStyle w:val="Emphasis"/>
        </w:rPr>
        <w:t>Operating grants and transfers totals R</w:t>
      </w:r>
      <w:r w:rsidR="00E94769" w:rsidRPr="00381EF0">
        <w:rPr>
          <w:rStyle w:val="Emphasis"/>
        </w:rPr>
        <w:t xml:space="preserve"> 37</w:t>
      </w:r>
      <w:r w:rsidRPr="00381EF0">
        <w:rPr>
          <w:rStyle w:val="Emphasis"/>
        </w:rPr>
        <w:t xml:space="preserve"> million in the 201</w:t>
      </w:r>
      <w:r w:rsidR="00E94769" w:rsidRPr="00381EF0">
        <w:rPr>
          <w:rStyle w:val="Emphasis"/>
        </w:rPr>
        <w:t>3</w:t>
      </w:r>
      <w:r w:rsidRPr="00381EF0">
        <w:rPr>
          <w:rStyle w:val="Emphasis"/>
        </w:rPr>
        <w:t>/1</w:t>
      </w:r>
      <w:r w:rsidR="00E94769" w:rsidRPr="00381EF0">
        <w:rPr>
          <w:rStyle w:val="Emphasis"/>
        </w:rPr>
        <w:t>4</w:t>
      </w:r>
      <w:r w:rsidRPr="00381EF0">
        <w:rPr>
          <w:rStyle w:val="Emphasis"/>
        </w:rPr>
        <w:t xml:space="preserve"> financial year and steadily increases to R</w:t>
      </w:r>
      <w:r w:rsidR="00E94769" w:rsidRPr="00381EF0">
        <w:rPr>
          <w:rStyle w:val="Emphasis"/>
        </w:rPr>
        <w:t>42 m</w:t>
      </w:r>
      <w:r w:rsidRPr="00381EF0">
        <w:rPr>
          <w:rStyle w:val="Emphasis"/>
        </w:rPr>
        <w:t>illion by 201</w:t>
      </w:r>
      <w:r w:rsidR="00E94769" w:rsidRPr="00381EF0">
        <w:rPr>
          <w:rStyle w:val="Emphasis"/>
        </w:rPr>
        <w:t>4</w:t>
      </w:r>
      <w:r w:rsidRPr="00381EF0">
        <w:rPr>
          <w:rStyle w:val="Emphasis"/>
        </w:rPr>
        <w:t>/1</w:t>
      </w:r>
      <w:r w:rsidR="00E94769" w:rsidRPr="00381EF0">
        <w:rPr>
          <w:rStyle w:val="Emphasis"/>
        </w:rPr>
        <w:t>5</w:t>
      </w:r>
      <w:r w:rsidRPr="00381EF0">
        <w:rPr>
          <w:rStyle w:val="Emphasis"/>
        </w:rPr>
        <w:t>.</w:t>
      </w:r>
    </w:p>
    <w:p w:rsidR="00E94769" w:rsidRPr="00381EF0" w:rsidRDefault="00E94769" w:rsidP="0057485F">
      <w:pPr>
        <w:pStyle w:val="Default"/>
        <w:rPr>
          <w:rStyle w:val="Emphasis"/>
        </w:rPr>
      </w:pPr>
    </w:p>
    <w:p w:rsidR="0057485F" w:rsidRPr="00381EF0" w:rsidRDefault="0057485F" w:rsidP="0057485F">
      <w:pPr>
        <w:pStyle w:val="Default"/>
        <w:rPr>
          <w:rStyle w:val="Emphasis"/>
        </w:rPr>
      </w:pPr>
      <w:r w:rsidRPr="00381EF0">
        <w:rPr>
          <w:rStyle w:val="Emphasis"/>
        </w:rPr>
        <w:t>Note that the yea</w:t>
      </w:r>
      <w:r w:rsidR="00E94769" w:rsidRPr="00381EF0">
        <w:rPr>
          <w:rStyle w:val="Emphasis"/>
        </w:rPr>
        <w:t xml:space="preserve">r-on-year growth for the 2013/14 </w:t>
      </w:r>
      <w:r w:rsidR="00DD4FB9" w:rsidRPr="00381EF0">
        <w:rPr>
          <w:rStyle w:val="Emphasis"/>
        </w:rPr>
        <w:t>financial</w:t>
      </w:r>
      <w:r w:rsidR="00E94769" w:rsidRPr="00381EF0">
        <w:rPr>
          <w:rStyle w:val="Emphasis"/>
        </w:rPr>
        <w:t xml:space="preserve"> year has stabilized allowing the Municipality to set the Tariffs structure that is pro-poor and </w:t>
      </w:r>
      <w:r w:rsidR="00DD4FB9" w:rsidRPr="00381EF0">
        <w:rPr>
          <w:rStyle w:val="Emphasis"/>
        </w:rPr>
        <w:t>investor’s</w:t>
      </w:r>
      <w:r w:rsidR="00E94769" w:rsidRPr="00381EF0">
        <w:rPr>
          <w:rStyle w:val="Emphasis"/>
        </w:rPr>
        <w:t xml:space="preserve"> friendly </w:t>
      </w:r>
    </w:p>
    <w:p w:rsidR="00E94769" w:rsidRPr="00381EF0" w:rsidRDefault="00E94769" w:rsidP="00E94769">
      <w:pPr>
        <w:autoSpaceDE w:val="0"/>
        <w:autoSpaceDN w:val="0"/>
        <w:adjustRightInd w:val="0"/>
        <w:spacing w:after="0" w:line="240" w:lineRule="auto"/>
        <w:rPr>
          <w:rStyle w:val="Emphasis"/>
        </w:rPr>
      </w:pPr>
    </w:p>
    <w:p w:rsidR="00E94769" w:rsidRPr="00381EF0" w:rsidRDefault="00E94769" w:rsidP="00E94769">
      <w:pPr>
        <w:autoSpaceDE w:val="0"/>
        <w:autoSpaceDN w:val="0"/>
        <w:adjustRightInd w:val="0"/>
        <w:spacing w:after="0" w:line="240" w:lineRule="auto"/>
        <w:rPr>
          <w:rStyle w:val="Emphasis"/>
        </w:rPr>
      </w:pPr>
      <w:r w:rsidRPr="00381EF0">
        <w:rPr>
          <w:rStyle w:val="Emphasis"/>
        </w:rPr>
        <w:t>Tariff-setting is a pivotal and strategic part of the compilation of any budget. When rates, tariffs and other charges were revised, local economic conditions, input costs and the affordability of services were taken into account to ensure the financial sustainability of the Town (Municipality).</w:t>
      </w:r>
    </w:p>
    <w:p w:rsidR="00E94769" w:rsidRPr="00381EF0" w:rsidRDefault="00E94769" w:rsidP="00E94769">
      <w:pPr>
        <w:autoSpaceDE w:val="0"/>
        <w:autoSpaceDN w:val="0"/>
        <w:adjustRightInd w:val="0"/>
        <w:spacing w:after="0" w:line="240" w:lineRule="auto"/>
        <w:rPr>
          <w:rStyle w:val="Emphasis"/>
        </w:rPr>
      </w:pPr>
      <w:r w:rsidRPr="00381EF0">
        <w:rPr>
          <w:rStyle w:val="Emphasis"/>
        </w:rPr>
        <w:t xml:space="preserve"> </w:t>
      </w:r>
    </w:p>
    <w:p w:rsidR="00E94769" w:rsidRPr="00381EF0" w:rsidRDefault="00E94769" w:rsidP="00E94769">
      <w:pPr>
        <w:autoSpaceDE w:val="0"/>
        <w:autoSpaceDN w:val="0"/>
        <w:adjustRightInd w:val="0"/>
        <w:spacing w:after="0" w:line="240" w:lineRule="auto"/>
        <w:rPr>
          <w:rStyle w:val="Emphasis"/>
        </w:rPr>
      </w:pPr>
      <w:r w:rsidRPr="00381EF0">
        <w:rPr>
          <w:rStyle w:val="Emphasis"/>
        </w:rPr>
        <w:t xml:space="preserve">National Treasury continues to encourage municipalities to keep increases in rates, tariffs and other charges as low as possible. Municipalities must justify in their budget documentation all increases in excess of the 6 per cent upper boundary of the South African Reserve Bank’s inflation target. Excessive increases are likely to be counterproductive, resulting in higher levels of non-payment. </w:t>
      </w:r>
    </w:p>
    <w:p w:rsidR="00E94769" w:rsidRPr="00381EF0" w:rsidRDefault="00E94769" w:rsidP="00E94769">
      <w:pPr>
        <w:autoSpaceDE w:val="0"/>
        <w:autoSpaceDN w:val="0"/>
        <w:adjustRightInd w:val="0"/>
        <w:spacing w:after="0" w:line="240" w:lineRule="auto"/>
        <w:rPr>
          <w:rStyle w:val="Emphasis"/>
        </w:rPr>
      </w:pPr>
      <w:r w:rsidRPr="00381EF0">
        <w:rPr>
          <w:rStyle w:val="Emphasis"/>
        </w:rPr>
        <w:t xml:space="preserve">The percentage increases of both Eskom tariffs are in par with the mentioned inflation target. </w:t>
      </w:r>
    </w:p>
    <w:p w:rsidR="00E94769" w:rsidRPr="00381EF0" w:rsidRDefault="00E94769" w:rsidP="00E94769">
      <w:pPr>
        <w:autoSpaceDE w:val="0"/>
        <w:autoSpaceDN w:val="0"/>
        <w:adjustRightInd w:val="0"/>
        <w:spacing w:after="0" w:line="240" w:lineRule="auto"/>
        <w:rPr>
          <w:rStyle w:val="Emphasis"/>
        </w:rPr>
      </w:pPr>
    </w:p>
    <w:p w:rsidR="00E94769" w:rsidRPr="00381EF0" w:rsidRDefault="00E94769" w:rsidP="00E94769">
      <w:pPr>
        <w:autoSpaceDE w:val="0"/>
        <w:autoSpaceDN w:val="0"/>
        <w:adjustRightInd w:val="0"/>
        <w:spacing w:after="0" w:line="240" w:lineRule="auto"/>
        <w:rPr>
          <w:rStyle w:val="Emphasis"/>
        </w:rPr>
      </w:pPr>
      <w:r w:rsidRPr="00381EF0">
        <w:rPr>
          <w:rStyle w:val="Emphasis"/>
        </w:rPr>
        <w:t xml:space="preserve">Discounting the impact of these price increases in lower consumer tariffs will erode the </w:t>
      </w:r>
      <w:r w:rsidR="00DD4FB9" w:rsidRPr="00381EF0">
        <w:rPr>
          <w:rStyle w:val="Emphasis"/>
        </w:rPr>
        <w:t>Municipality’s</w:t>
      </w:r>
      <w:r w:rsidRPr="00381EF0">
        <w:rPr>
          <w:rStyle w:val="Emphasis"/>
        </w:rPr>
        <w:t xml:space="preserve"> future financial position and viability. </w:t>
      </w:r>
    </w:p>
    <w:p w:rsidR="00DD4FB9" w:rsidRPr="00381EF0" w:rsidRDefault="00DD4FB9" w:rsidP="00E94769">
      <w:pPr>
        <w:autoSpaceDE w:val="0"/>
        <w:autoSpaceDN w:val="0"/>
        <w:adjustRightInd w:val="0"/>
        <w:spacing w:after="0" w:line="240" w:lineRule="auto"/>
        <w:rPr>
          <w:rStyle w:val="Emphasis"/>
        </w:rPr>
      </w:pPr>
    </w:p>
    <w:p w:rsidR="00DD4FB9" w:rsidRPr="00381EF0" w:rsidRDefault="00E94769" w:rsidP="00E94769">
      <w:pPr>
        <w:pStyle w:val="Default"/>
        <w:rPr>
          <w:rStyle w:val="Emphasis"/>
        </w:rPr>
      </w:pPr>
      <w:r w:rsidRPr="00381EF0">
        <w:rPr>
          <w:rStyle w:val="Emphasis"/>
        </w:rPr>
        <w:t>It must also be appreciated that the consumer price index, as measured by CPI, is not a good measure of the cost increases of goods and services relevant to municipalities. The basket of goods and services utilised for the calculation of the CPI consist of items such as food, petrol and medical services, whereas the cost drivers of a municipality are informed by items such as the cost of remuneration, bulk pu</w:t>
      </w:r>
      <w:r w:rsidR="00DD4FB9" w:rsidRPr="00381EF0">
        <w:rPr>
          <w:rStyle w:val="Emphasis"/>
        </w:rPr>
        <w:t>rchases of electricity</w:t>
      </w:r>
      <w:r w:rsidRPr="00381EF0">
        <w:rPr>
          <w:rStyle w:val="Emphasis"/>
        </w:rPr>
        <w:t xml:space="preserve">, petrol, diesel, chemicals, cement etc. </w:t>
      </w:r>
    </w:p>
    <w:p w:rsidR="00DD4FB9" w:rsidRPr="00381EF0" w:rsidRDefault="00DD4FB9" w:rsidP="00E94769">
      <w:pPr>
        <w:pStyle w:val="Default"/>
        <w:rPr>
          <w:rStyle w:val="Emphasis"/>
        </w:rPr>
      </w:pPr>
    </w:p>
    <w:p w:rsidR="00E94769" w:rsidRPr="00381EF0" w:rsidRDefault="00E94769" w:rsidP="00E94769">
      <w:pPr>
        <w:pStyle w:val="Default"/>
        <w:rPr>
          <w:rStyle w:val="Emphasis"/>
        </w:rPr>
      </w:pPr>
      <w:r w:rsidRPr="00381EF0">
        <w:rPr>
          <w:rStyle w:val="Emphasis"/>
        </w:rPr>
        <w:t xml:space="preserve">The current challenge facing the </w:t>
      </w:r>
      <w:r w:rsidR="00DD4FB9" w:rsidRPr="00381EF0">
        <w:rPr>
          <w:rStyle w:val="Emphasis"/>
        </w:rPr>
        <w:t>our Municipality</w:t>
      </w:r>
      <w:r w:rsidRPr="00381EF0">
        <w:rPr>
          <w:rStyle w:val="Emphasis"/>
        </w:rPr>
        <w:t xml:space="preserve"> is managing the gap between cost drivers and tariffs levied, as any shortfall must be made up by either operational efficiency gains or service level reductions.</w:t>
      </w:r>
    </w:p>
    <w:p w:rsidR="00DD4FB9" w:rsidRPr="00381EF0" w:rsidRDefault="00DD4FB9" w:rsidP="00E94769">
      <w:pPr>
        <w:pStyle w:val="Default"/>
        <w:rPr>
          <w:rStyle w:val="Emphasis"/>
        </w:rPr>
      </w:pPr>
    </w:p>
    <w:p w:rsidR="00DD4FB9" w:rsidRPr="00381EF0" w:rsidRDefault="00DD4FB9" w:rsidP="00E94769">
      <w:pPr>
        <w:pStyle w:val="Default"/>
        <w:rPr>
          <w:rStyle w:val="Emphasis"/>
        </w:rPr>
      </w:pPr>
      <w:r w:rsidRPr="00381EF0">
        <w:rPr>
          <w:rStyle w:val="Emphasis"/>
        </w:rPr>
        <w:t>Within this framework the Musina Local Municipality has undertaken the tariff setting process relating to service charges as attached on the TARIFF LIST.</w:t>
      </w:r>
    </w:p>
    <w:p w:rsidR="00A63FAB" w:rsidRPr="00381EF0" w:rsidRDefault="00A63FAB">
      <w:pPr>
        <w:rPr>
          <w:rStyle w:val="Emphasis"/>
        </w:rPr>
      </w:pPr>
    </w:p>
    <w:sectPr w:rsidR="00A63FAB" w:rsidRPr="00381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31"/>
    <w:rsid w:val="00381EF0"/>
    <w:rsid w:val="0057485F"/>
    <w:rsid w:val="007409C3"/>
    <w:rsid w:val="00A63FAB"/>
    <w:rsid w:val="00A8049B"/>
    <w:rsid w:val="00C6714F"/>
    <w:rsid w:val="00C71331"/>
    <w:rsid w:val="00DD4FB9"/>
    <w:rsid w:val="00E947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20F27-14D1-4E55-9A71-E3886FB7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FAB"/>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381EF0"/>
    <w:rPr>
      <w:i/>
      <w:iCs/>
    </w:rPr>
  </w:style>
  <w:style w:type="paragraph" w:styleId="BalloonText">
    <w:name w:val="Balloon Text"/>
    <w:basedOn w:val="Normal"/>
    <w:link w:val="BalloonTextChar"/>
    <w:uiPriority w:val="99"/>
    <w:semiHidden/>
    <w:unhideWhenUsed/>
    <w:rsid w:val="00381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Thabo</dc:creator>
  <cp:keywords/>
  <dc:description/>
  <cp:lastModifiedBy>Thabo</cp:lastModifiedBy>
  <cp:revision>2</cp:revision>
  <cp:lastPrinted>2014-05-28T12:33:00Z</cp:lastPrinted>
  <dcterms:created xsi:type="dcterms:W3CDTF">2014-05-28T12:33:00Z</dcterms:created>
  <dcterms:modified xsi:type="dcterms:W3CDTF">2014-05-28T12:33:00Z</dcterms:modified>
</cp:coreProperties>
</file>